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4351E">
      <w:pPr>
        <w:ind w:firstLine="0"/>
        <w:jc w:val="left"/>
        <w:rPr>
          <w:rFonts w:eastAsia="黑体"/>
        </w:rPr>
      </w:pPr>
      <w:r>
        <w:rPr>
          <w:rFonts w:eastAsia="黑体"/>
        </w:rPr>
        <w:t>附件2-3</w:t>
      </w:r>
    </w:p>
    <w:p w14:paraId="2A21EE81">
      <w:pPr>
        <w:jc w:val="center"/>
        <w:rPr>
          <w:rFonts w:eastAsia="方正小标宋简体"/>
          <w:sz w:val="44"/>
          <w:szCs w:val="44"/>
        </w:rPr>
      </w:pPr>
      <w:bookmarkStart w:id="0" w:name="_GoBack"/>
      <w:r>
        <w:rPr>
          <w:rFonts w:eastAsia="方正小标宋简体"/>
          <w:sz w:val="44"/>
          <w:szCs w:val="44"/>
        </w:rPr>
        <w:t>推动生态环境领域设备更新操作指南</w:t>
      </w:r>
    </w:p>
    <w:bookmarkEnd w:id="0"/>
    <w:p w14:paraId="1D37D7C1">
      <w:pPr>
        <w:tabs>
          <w:tab w:val="left" w:pos="9193"/>
          <w:tab w:val="left" w:pos="9827"/>
        </w:tabs>
        <w:spacing w:line="590" w:lineRule="exact"/>
        <w:ind w:firstLine="640" w:firstLineChars="200"/>
        <w:jc w:val="left"/>
        <w:rPr>
          <w:rFonts w:eastAsia="仿宋_GB2312"/>
        </w:rPr>
      </w:pPr>
      <w:r>
        <w:rPr>
          <w:rFonts w:eastAsia="仿宋_GB2312"/>
        </w:rPr>
        <w:t>根据《</w:t>
      </w:r>
      <w:r>
        <w:rPr>
          <w:rFonts w:eastAsia="仿宋_GB2312"/>
          <w:color w:val="000000"/>
        </w:rPr>
        <w:t>关于印发南通市2024年深入打好污染防治攻坚战相关工作计划的通知》（通污防攻坚指办〔2024〕25号）、《南通市2023-2024年臭氧污染综合治理实施方案》（通大气办〔2024〕1号）文件要求，结合</w:t>
      </w:r>
      <w:r>
        <w:rPr>
          <w:rFonts w:eastAsia="仿宋_GB2312"/>
        </w:rPr>
        <w:t>《中央生态环境资金项目储备库入库指南(2021年)》环办科财〔2021〕22号、《江苏省生态环境保护专项资金项目入库申报指南(2022年)》苏环办〔2022〕28号文件规定，符合条件的企业可以申请中央和省生态环境保护专项资金补助。</w:t>
      </w:r>
    </w:p>
    <w:p w14:paraId="2A0F0C09">
      <w:pPr>
        <w:tabs>
          <w:tab w:val="left" w:pos="9193"/>
          <w:tab w:val="left" w:pos="9827"/>
        </w:tabs>
        <w:spacing w:line="590" w:lineRule="exact"/>
        <w:jc w:val="left"/>
        <w:rPr>
          <w:rFonts w:eastAsia="黑体"/>
        </w:rPr>
      </w:pPr>
      <w:r>
        <w:rPr>
          <w:rFonts w:eastAsia="黑体"/>
        </w:rPr>
        <w:t>一、补贴范围</w:t>
      </w:r>
    </w:p>
    <w:p w14:paraId="36531328">
      <w:pPr>
        <w:spacing w:line="590" w:lineRule="exact"/>
        <w:ind w:firstLine="640" w:firstLineChars="200"/>
        <w:rPr>
          <w:rFonts w:eastAsia="仿宋_GB2312"/>
          <w:color w:val="000000"/>
          <w:lang w:bidi="ar"/>
        </w:rPr>
      </w:pPr>
      <w:r>
        <w:rPr>
          <w:rFonts w:eastAsia="仿宋_GB2312"/>
          <w:color w:val="000000"/>
          <w:lang w:bidi="ar"/>
        </w:rPr>
        <w:t>项目着眼于PM2.5和O</w:t>
      </w:r>
      <w:r>
        <w:rPr>
          <w:rFonts w:eastAsia="仿宋_GB2312"/>
          <w:color w:val="000000"/>
          <w:vertAlign w:val="subscript"/>
          <w:lang w:bidi="ar"/>
        </w:rPr>
        <w:t>3</w:t>
      </w:r>
      <w:r>
        <w:rPr>
          <w:rFonts w:eastAsia="仿宋_GB2312"/>
          <w:color w:val="000000"/>
          <w:lang w:bidi="ar"/>
        </w:rPr>
        <w:t>协同控制，着力推动NOx和VOCs减排。重点以燃煤污染控制、锅炉综合治理、挥发性有机物治理/钢铁超低/工业炉窑综合整治等工业污染治理、大气环境管理能力建设等为重点。存在严重环保失信和严重环境违法行为的企业项目三年内不得申请入库。鼓励点多面广的项目打包：包括散煤治理、燃煤锅炉淘汰改造、燃气锅炉低氮改造、企业集群综合 整治、工业企业挥发性有机物治理等。项目投资额低于200万的将不再安排中央资金支持,低于100万的不再安排省资金支持。</w:t>
      </w:r>
    </w:p>
    <w:p w14:paraId="6E213758">
      <w:pPr>
        <w:spacing w:line="590" w:lineRule="exact"/>
        <w:ind w:firstLine="640" w:firstLineChars="200"/>
        <w:rPr>
          <w:rFonts w:eastAsia="仿宋_GB2312"/>
          <w:color w:val="000000"/>
          <w:lang w:bidi="ar"/>
        </w:rPr>
      </w:pPr>
      <w:r>
        <w:rPr>
          <w:rFonts w:eastAsia="黑体"/>
          <w:color w:val="000000"/>
          <w:lang w:bidi="ar"/>
        </w:rPr>
        <w:t>二、补贴申请、审核及发放</w:t>
      </w:r>
    </w:p>
    <w:p w14:paraId="09A2E860">
      <w:pPr>
        <w:spacing w:line="590" w:lineRule="exact"/>
        <w:ind w:firstLine="640" w:firstLineChars="200"/>
        <w:rPr>
          <w:rFonts w:eastAsia="楷体"/>
          <w:color w:val="000000"/>
          <w:lang w:bidi="ar"/>
        </w:rPr>
      </w:pPr>
      <w:r>
        <w:rPr>
          <w:rFonts w:eastAsia="楷体"/>
          <w:color w:val="000000"/>
          <w:lang w:bidi="ar"/>
        </w:rPr>
        <w:t>1．中央资金申报流程</w:t>
      </w:r>
    </w:p>
    <w:p w14:paraId="22890B34">
      <w:pPr>
        <w:spacing w:line="590" w:lineRule="exact"/>
        <w:ind w:firstLine="640" w:firstLineChars="200"/>
        <w:rPr>
          <w:rFonts w:eastAsia="仿宋_GB2312"/>
          <w:color w:val="000000"/>
          <w:lang w:bidi="ar"/>
        </w:rPr>
      </w:pPr>
      <w:r>
        <w:rPr>
          <w:rFonts w:eastAsia="仿宋_GB2312"/>
          <w:color w:val="000000"/>
          <w:lang w:bidi="ar"/>
        </w:rPr>
        <w:t>（1）材料准备：项目申请表、绩效目标申报表、项目实施方案（或可行性研究报告）、政府部门确认项目能够实施的文件、项目申报信用承诺书、验收文件、施工合同等。</w:t>
      </w:r>
    </w:p>
    <w:p w14:paraId="41570608">
      <w:pPr>
        <w:spacing w:line="590" w:lineRule="exact"/>
        <w:ind w:firstLine="640" w:firstLineChars="200"/>
        <w:rPr>
          <w:rFonts w:eastAsia="仿宋_GB2312"/>
          <w:color w:val="000000"/>
          <w:lang w:bidi="ar"/>
        </w:rPr>
      </w:pPr>
      <w:r>
        <w:rPr>
          <w:rFonts w:eastAsia="仿宋_GB2312"/>
          <w:color w:val="000000"/>
          <w:lang w:bidi="ar"/>
        </w:rPr>
        <w:t>（2）地方预审：企业将申报材料提交至区县生态环境局，区县生态环境局完成预审后录入中央资金申报系统，市生态环境局完成预审，报送省厅。</w:t>
      </w:r>
    </w:p>
    <w:p w14:paraId="18072F27">
      <w:pPr>
        <w:spacing w:line="590" w:lineRule="exact"/>
        <w:ind w:firstLine="640" w:firstLineChars="200"/>
        <w:rPr>
          <w:rFonts w:eastAsia="仿宋_GB2312"/>
          <w:color w:val="000000"/>
          <w:lang w:bidi="ar"/>
        </w:rPr>
      </w:pPr>
      <w:r>
        <w:rPr>
          <w:rFonts w:eastAsia="仿宋_GB2312"/>
          <w:color w:val="000000"/>
          <w:lang w:bidi="ar"/>
        </w:rPr>
        <w:t>（3）省级审核：省生态环境厅完成审核，报送生态环境部。</w:t>
      </w:r>
    </w:p>
    <w:p w14:paraId="3140DEB3">
      <w:pPr>
        <w:spacing w:line="590" w:lineRule="exact"/>
        <w:ind w:firstLine="640" w:firstLineChars="200"/>
        <w:rPr>
          <w:rFonts w:eastAsia="仿宋_GB2312"/>
          <w:color w:val="000000"/>
          <w:lang w:bidi="ar"/>
        </w:rPr>
      </w:pPr>
      <w:r>
        <w:rPr>
          <w:rFonts w:eastAsia="仿宋_GB2312"/>
          <w:color w:val="000000"/>
          <w:lang w:bidi="ar"/>
        </w:rPr>
        <w:t>（4）部级审核：：生态环境部完成审核，项目纳入中央项目储备库。</w:t>
      </w:r>
    </w:p>
    <w:p w14:paraId="60786A64">
      <w:pPr>
        <w:spacing w:line="590" w:lineRule="exact"/>
        <w:ind w:firstLine="640" w:firstLineChars="200"/>
        <w:rPr>
          <w:rFonts w:eastAsia="仿宋_GB2312"/>
          <w:color w:val="000000"/>
          <w:lang w:bidi="ar"/>
        </w:rPr>
      </w:pPr>
      <w:r>
        <w:rPr>
          <w:rFonts w:eastAsia="仿宋_GB2312"/>
          <w:color w:val="000000"/>
          <w:lang w:bidi="ar"/>
        </w:rPr>
        <w:t>（5）资金获得：储备库中的项目通过生态环境部审核进入项目实施库，取得资金支持。</w:t>
      </w:r>
    </w:p>
    <w:p w14:paraId="2090B768">
      <w:pPr>
        <w:spacing w:line="590" w:lineRule="exact"/>
        <w:ind w:firstLine="640" w:firstLineChars="200"/>
        <w:rPr>
          <w:rFonts w:eastAsia="楷体"/>
          <w:color w:val="000000"/>
          <w:lang w:bidi="ar"/>
        </w:rPr>
      </w:pPr>
      <w:r>
        <w:rPr>
          <w:rFonts w:eastAsia="楷体"/>
          <w:color w:val="000000"/>
          <w:lang w:bidi="ar"/>
        </w:rPr>
        <w:t>2．省级资金申报流程</w:t>
      </w:r>
    </w:p>
    <w:p w14:paraId="50E0CD02">
      <w:pPr>
        <w:spacing w:line="590" w:lineRule="exact"/>
        <w:ind w:firstLine="640" w:firstLineChars="200"/>
        <w:rPr>
          <w:rFonts w:eastAsia="仿宋_GB2312"/>
          <w:color w:val="000000"/>
          <w:lang w:bidi="ar"/>
        </w:rPr>
      </w:pPr>
      <w:r>
        <w:rPr>
          <w:rFonts w:eastAsia="仿宋_GB2312"/>
          <w:color w:val="000000"/>
          <w:lang w:bidi="ar"/>
        </w:rPr>
        <w:t>（1）材料准备：项目申请表、绩效目标申报表、项目实施方案（或可行性研究报告）、政府部门确认项目能够实施的文件、项目申报信用承诺书、验收文件、施工合同等。</w:t>
      </w:r>
    </w:p>
    <w:p w14:paraId="7FC464BC">
      <w:pPr>
        <w:widowControl/>
        <w:spacing w:line="590" w:lineRule="exact"/>
        <w:ind w:firstLine="640" w:firstLineChars="200"/>
        <w:jc w:val="left"/>
        <w:textAlignment w:val="center"/>
        <w:rPr>
          <w:rFonts w:eastAsia="仿宋_GB2312"/>
          <w:color w:val="000000"/>
          <w:lang w:bidi="ar"/>
        </w:rPr>
      </w:pPr>
      <w:r>
        <w:rPr>
          <w:rFonts w:eastAsia="仿宋_GB2312"/>
          <w:color w:val="000000"/>
          <w:lang w:bidi="ar"/>
        </w:rPr>
        <w:t>（2）企业申报：企业登录：江苏省生态环境资金项目库系统完成材料上传。</w:t>
      </w:r>
      <w:r>
        <w:rPr>
          <w:rFonts w:eastAsia="仿宋_GB2312"/>
          <w:color w:val="000000"/>
          <w:spacing w:val="-12"/>
          <w:lang w:bidi="ar"/>
        </w:rPr>
        <w:t>（http://218.94.78.90:18180/hodeframe2016_hbprj/index.action）</w:t>
      </w:r>
    </w:p>
    <w:p w14:paraId="4215D585">
      <w:pPr>
        <w:widowControl/>
        <w:spacing w:line="590" w:lineRule="exact"/>
        <w:ind w:firstLine="640" w:firstLineChars="200"/>
        <w:jc w:val="left"/>
        <w:textAlignment w:val="center"/>
        <w:rPr>
          <w:rFonts w:eastAsia="仿宋_GB2312"/>
          <w:color w:val="000000"/>
          <w:lang w:bidi="ar"/>
        </w:rPr>
      </w:pPr>
      <w:r>
        <w:rPr>
          <w:rFonts w:eastAsia="仿宋_GB2312"/>
          <w:color w:val="000000"/>
          <w:lang w:bidi="ar"/>
        </w:rPr>
        <w:t>（3）地方预审：区县生态环境局完成预审后，市生态环境局完成预审，报送省厅。</w:t>
      </w:r>
    </w:p>
    <w:p w14:paraId="35C56025">
      <w:pPr>
        <w:spacing w:line="590" w:lineRule="exact"/>
        <w:ind w:firstLine="640" w:firstLineChars="200"/>
        <w:rPr>
          <w:rFonts w:eastAsia="仿宋_GB2312"/>
          <w:color w:val="000000"/>
          <w:lang w:bidi="ar"/>
        </w:rPr>
      </w:pPr>
      <w:r>
        <w:rPr>
          <w:rFonts w:eastAsia="仿宋_GB2312"/>
          <w:color w:val="000000"/>
          <w:lang w:bidi="ar"/>
        </w:rPr>
        <w:t>（4）省级审核：省生态环境厅完成审核，项目纳入储备库。</w:t>
      </w:r>
    </w:p>
    <w:p w14:paraId="594FA18B">
      <w:pPr>
        <w:spacing w:line="590" w:lineRule="exact"/>
        <w:ind w:firstLine="640" w:firstLineChars="200"/>
        <w:rPr>
          <w:rFonts w:eastAsia="仿宋_GB2312"/>
          <w:color w:val="000000"/>
          <w:lang w:bidi="ar"/>
        </w:rPr>
      </w:pPr>
      <w:r>
        <w:rPr>
          <w:rFonts w:eastAsia="仿宋_GB2312"/>
          <w:color w:val="000000"/>
          <w:lang w:bidi="ar"/>
        </w:rPr>
        <w:t>（5）资金获得：储备库中的项目取得资金支持。</w:t>
      </w:r>
    </w:p>
    <w:p w14:paraId="780F6BE3">
      <w:pPr>
        <w:spacing w:line="590" w:lineRule="exact"/>
        <w:ind w:firstLine="640" w:firstLineChars="200"/>
        <w:rPr>
          <w:rFonts w:eastAsia="仿宋_GB2312"/>
          <w:color w:val="000000"/>
          <w:lang w:bidi="ar"/>
        </w:rPr>
      </w:pPr>
    </w:p>
    <w:p w14:paraId="4CB5F917">
      <w:pPr>
        <w:tabs>
          <w:tab w:val="left" w:pos="9193"/>
          <w:tab w:val="left" w:pos="9827"/>
        </w:tabs>
        <w:spacing w:line="590" w:lineRule="exact"/>
        <w:ind w:firstLine="640" w:firstLineChars="200"/>
        <w:jc w:val="left"/>
        <w:rPr>
          <w:rFonts w:eastAsia="黑体"/>
          <w:color w:val="000000"/>
        </w:rPr>
      </w:pPr>
      <w:r>
        <w:rPr>
          <w:rFonts w:eastAsia="黑体"/>
          <w:color w:val="000000"/>
        </w:rPr>
        <w:t>三、目标</w:t>
      </w:r>
    </w:p>
    <w:p w14:paraId="473583A0">
      <w:pPr>
        <w:tabs>
          <w:tab w:val="left" w:pos="9193"/>
          <w:tab w:val="left" w:pos="9827"/>
        </w:tabs>
        <w:spacing w:line="590" w:lineRule="exact"/>
        <w:ind w:firstLine="640" w:firstLineChars="200"/>
        <w:jc w:val="left"/>
        <w:rPr>
          <w:rFonts w:eastAsia="仿宋_GB2312"/>
          <w:color w:val="000000"/>
        </w:rPr>
      </w:pPr>
      <w:r>
        <w:rPr>
          <w:rFonts w:eastAsia="仿宋_GB2312"/>
          <w:color w:val="000000"/>
        </w:rPr>
        <w:t>2024年推进生态环境领域设备更新：4家；</w:t>
      </w:r>
    </w:p>
    <w:p w14:paraId="668D59FC">
      <w:pPr>
        <w:tabs>
          <w:tab w:val="left" w:pos="9193"/>
          <w:tab w:val="left" w:pos="9827"/>
        </w:tabs>
        <w:spacing w:line="590" w:lineRule="exact"/>
        <w:ind w:firstLine="640" w:firstLineChars="200"/>
        <w:jc w:val="left"/>
        <w:rPr>
          <w:rFonts w:eastAsia="黑体"/>
        </w:rPr>
      </w:pPr>
      <w:r>
        <w:rPr>
          <w:rFonts w:eastAsia="仿宋_GB2312"/>
          <w:color w:val="000000"/>
        </w:rPr>
        <w:t>2025-2027推进生态环境领域设备更新：4家/年；</w:t>
      </w:r>
    </w:p>
    <w:p w14:paraId="5AFFE0BB">
      <w:pPr>
        <w:tabs>
          <w:tab w:val="left" w:pos="9193"/>
          <w:tab w:val="left" w:pos="9827"/>
        </w:tabs>
        <w:spacing w:line="590" w:lineRule="exact"/>
        <w:ind w:firstLine="640" w:firstLineChars="200"/>
        <w:jc w:val="left"/>
        <w:rPr>
          <w:rFonts w:eastAsia="黑体"/>
          <w:color w:val="000000"/>
        </w:rPr>
      </w:pPr>
      <w:r>
        <w:rPr>
          <w:rFonts w:eastAsia="黑体"/>
          <w:color w:val="000000"/>
        </w:rPr>
        <w:t>四、宣讲计划</w:t>
      </w:r>
    </w:p>
    <w:p w14:paraId="737C7CEB">
      <w:pPr>
        <w:tabs>
          <w:tab w:val="left" w:pos="9193"/>
          <w:tab w:val="left" w:pos="9827"/>
        </w:tabs>
        <w:spacing w:line="590" w:lineRule="exact"/>
        <w:ind w:firstLine="640" w:firstLineChars="200"/>
        <w:jc w:val="left"/>
      </w:pPr>
      <w:r>
        <w:rPr>
          <w:rFonts w:eastAsia="仿宋_GB2312"/>
          <w:color w:val="000000"/>
        </w:rPr>
        <w:t>结合大气污染防治“夏病冬治”、重点行业专项整治等专项治理行动，“点对点”宣传、精准帮扶，推动企业淘汰不达标的环保治理设施，优化升级污染防治设施、监测监控设备。</w:t>
      </w:r>
    </w:p>
    <w:p w14:paraId="5193FCB9"/>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3A241DB6"/>
    <w:rsid w:val="3A241DB6"/>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2024-08-20T01:22:00Z</dcterms:created>
  <dc:creator>0803</dc:creator>
  <cp:lastModifiedBy>0803</cp:lastModifiedBy>
  <dcterms:modified xsi:type="dcterms:W3CDTF">2024-08-20T01:22:14Z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A158D8DD12834A489C6DE9CC25A4005B_11</vt:lpwstr>
  </property>
</Properties>
</file>